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34CD0" w14:textId="2D921B38" w:rsidR="003D5BB8" w:rsidRDefault="003D5BB8">
      <w:r w:rsidRPr="003D5BB8">
        <w:t>https://legislatie.just.ro/Public/DetaliiDocument/292986</w:t>
      </w:r>
    </w:p>
    <w:sectPr w:rsidR="003D5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BB8"/>
    <w:rsid w:val="003D5BB8"/>
    <w:rsid w:val="00C3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8A2A2"/>
  <w15:chartTrackingRefBased/>
  <w15:docId w15:val="{33930E55-D3D3-42C0-A537-960A582F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3D5B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D5B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D5B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D5B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D5B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D5B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D5B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D5B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D5B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D5B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D5B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D5B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D5BB8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D5BB8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D5BB8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D5BB8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D5BB8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D5BB8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D5B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D5B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5B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5B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D5B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D5BB8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D5BB8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D5BB8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D5B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D5BB8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D5B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Emiliana Petrescu</dc:creator>
  <cp:keywords/>
  <dc:description/>
  <cp:lastModifiedBy>Emiliana Petrescu</cp:lastModifiedBy>
  <cp:revision>1</cp:revision>
  <dcterms:created xsi:type="dcterms:W3CDTF">2026-03-05T16:55:00Z</dcterms:created>
  <dcterms:modified xsi:type="dcterms:W3CDTF">2026-03-05T16:55:00Z</dcterms:modified>
</cp:coreProperties>
</file>